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16D20347" w:rsidR="00420A38" w:rsidRPr="007A395D" w:rsidRDefault="00420A38" w:rsidP="000049D8">
      <w:pPr>
        <w:pStyle w:val="Header"/>
        <w:tabs>
          <w:tab w:val="clear" w:pos="9639"/>
          <w:tab w:val="right" w:pos="5954"/>
        </w:tabs>
        <w:spacing w:after="240"/>
        <w:jc w:val="right"/>
        <w:rPr>
          <w:rFonts w:ascii="Calibri" w:hAnsi="Calibri"/>
          <w:lang w:eastAsia="ko-KR"/>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455C63">
        <w:rPr>
          <w:rFonts w:ascii="Calibri" w:hAnsi="Calibri"/>
          <w:lang w:eastAsia="ko-KR"/>
        </w:rPr>
        <w:t>PAP56-2.2.1</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EAC61B0" w:rsidR="0080294B" w:rsidRPr="007A395D" w:rsidRDefault="00394293" w:rsidP="00037DF4">
      <w:pPr>
        <w:pStyle w:val="BodyText"/>
        <w:tabs>
          <w:tab w:val="left" w:pos="1843"/>
        </w:tabs>
        <w:rPr>
          <w:rFonts w:ascii="Calibri" w:hAnsi="Calibri" w:cs="Arial"/>
          <w:b/>
          <w:sz w:val="24"/>
          <w:szCs w:val="24"/>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91760D">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0205EE">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78151897" w:rsidR="0080294B" w:rsidRPr="007A395D" w:rsidRDefault="00394293" w:rsidP="00037DF4">
      <w:pPr>
        <w:pStyle w:val="BodyText"/>
        <w:tabs>
          <w:tab w:val="left" w:pos="1843"/>
        </w:tabs>
        <w:rPr>
          <w:rFonts w:ascii="Calibri" w:hAnsi="Calibri"/>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594AAE5"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455C63">
        <w:rPr>
          <w:rFonts w:ascii="Calibri" w:hAnsi="Calibri"/>
        </w:rPr>
        <w:t>2.2</w:t>
      </w:r>
    </w:p>
    <w:p w14:paraId="01FC5420" w14:textId="16B7C898" w:rsidR="00362CD9"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94293">
        <w:rPr>
          <w:rFonts w:ascii="Calibri" w:hAnsi="Calibri"/>
        </w:rPr>
        <w:t>Secretariat</w:t>
      </w:r>
    </w:p>
    <w:p w14:paraId="15987293" w14:textId="77777777" w:rsidR="006F46B5" w:rsidRPr="007A395D" w:rsidRDefault="006F46B5" w:rsidP="00FE5674">
      <w:pPr>
        <w:pStyle w:val="BodyText"/>
        <w:tabs>
          <w:tab w:val="left" w:pos="2835"/>
        </w:tabs>
        <w:rPr>
          <w:rFonts w:ascii="Calibri" w:hAnsi="Calibri"/>
          <w:color w:val="FF0000"/>
        </w:rPr>
      </w:pPr>
    </w:p>
    <w:p w14:paraId="4834080C" w14:textId="5DB4FC7D" w:rsidR="00A446C9" w:rsidRPr="00605E43" w:rsidRDefault="00394293" w:rsidP="00A446C9">
      <w:pPr>
        <w:pStyle w:val="Title"/>
        <w:rPr>
          <w:rFonts w:ascii="Calibri" w:hAnsi="Calibri"/>
          <w:color w:val="0070C0"/>
          <w:lang w:eastAsia="ko-KR"/>
        </w:rPr>
      </w:pPr>
      <w:r>
        <w:rPr>
          <w:rFonts w:ascii="Calibri" w:hAnsi="Calibri"/>
          <w:color w:val="0070C0"/>
        </w:rPr>
        <w:t xml:space="preserve">Report on </w:t>
      </w:r>
      <w:r w:rsidR="000A70E1">
        <w:rPr>
          <w:rFonts w:ascii="Calibri" w:hAnsi="Calibri" w:hint="eastAsia"/>
          <w:color w:val="0070C0"/>
          <w:lang w:eastAsia="ko-KR"/>
        </w:rPr>
        <w:t>Transition Council 03</w:t>
      </w:r>
    </w:p>
    <w:p w14:paraId="0F258596" w14:textId="7FCEB930" w:rsidR="00A446C9" w:rsidRPr="00605E43" w:rsidRDefault="00394293" w:rsidP="00605E43">
      <w:pPr>
        <w:pStyle w:val="Heading1"/>
      </w:pPr>
      <w:r>
        <w:t>Introduction</w:t>
      </w:r>
    </w:p>
    <w:p w14:paraId="03C0BA17" w14:textId="075BBC36" w:rsidR="00C76733" w:rsidRPr="00C76733" w:rsidRDefault="00C76733" w:rsidP="00C76733">
      <w:pPr>
        <w:pStyle w:val="BodyText"/>
        <w:rPr>
          <w:rFonts w:ascii="Calibri" w:hAnsi="Calibri"/>
          <w:lang w:eastAsia="ko-KR"/>
        </w:rPr>
      </w:pPr>
      <w:r w:rsidRPr="00C76733">
        <w:rPr>
          <w:rFonts w:ascii="Calibri" w:hAnsi="Calibri"/>
          <w:lang w:eastAsia="ko-KR"/>
        </w:rPr>
        <w:t xml:space="preserve">This report provides an overview of the outcomes of the 3rd session of the IALA Transition Council, held at the IALA Headquarters in France from 10 to 13 December 2024. The session focused on significant developments in IALA's transition to its status as an </w:t>
      </w:r>
      <w:r>
        <w:rPr>
          <w:rFonts w:ascii="Calibri" w:hAnsi="Calibri" w:hint="eastAsia"/>
          <w:lang w:eastAsia="ko-KR"/>
        </w:rPr>
        <w:t>IGO</w:t>
      </w:r>
      <w:r w:rsidRPr="00C76733">
        <w:rPr>
          <w:rFonts w:ascii="Calibri" w:hAnsi="Calibri"/>
          <w:lang w:eastAsia="ko-KR"/>
        </w:rPr>
        <w:t xml:space="preserve">, along with strategic and operational updates relevant to committees and </w:t>
      </w:r>
      <w:r>
        <w:rPr>
          <w:rFonts w:ascii="Calibri" w:hAnsi="Calibri" w:hint="eastAsia"/>
          <w:lang w:eastAsia="ko-KR"/>
        </w:rPr>
        <w:t>PAP</w:t>
      </w:r>
      <w:r w:rsidRPr="00C76733">
        <w:rPr>
          <w:rFonts w:ascii="Calibri" w:hAnsi="Calibri"/>
          <w:lang w:eastAsia="ko-KR"/>
        </w:rPr>
        <w:t>. Key decisions included the ratification progress of the IALA Convention, the approval of the 2025 budget, advancements in the headquarters relocation project, and technical outputs across various committees.</w:t>
      </w:r>
    </w:p>
    <w:p w14:paraId="0378A724" w14:textId="4F22F07B" w:rsidR="003C7BB7" w:rsidRPr="00C306F8" w:rsidRDefault="004A37D3" w:rsidP="003C7BB7">
      <w:pPr>
        <w:pStyle w:val="Heading1"/>
      </w:pPr>
      <w:r w:rsidRPr="00C306F8">
        <w:rPr>
          <w:rFonts w:hint="eastAsia"/>
          <w:lang w:eastAsia="ko-KR"/>
        </w:rPr>
        <w:t xml:space="preserve">Key </w:t>
      </w:r>
      <w:r w:rsidR="007E425E" w:rsidRPr="00C306F8">
        <w:rPr>
          <w:lang w:eastAsia="ko-KR"/>
        </w:rPr>
        <w:t>outcomes</w:t>
      </w:r>
      <w:r w:rsidRPr="00C306F8">
        <w:rPr>
          <w:rFonts w:hint="eastAsia"/>
          <w:lang w:eastAsia="ko-KR"/>
        </w:rPr>
        <w:t xml:space="preserve"> and </w:t>
      </w:r>
      <w:r w:rsidR="003C7BB7" w:rsidRPr="00C306F8">
        <w:rPr>
          <w:rFonts w:hint="eastAsia"/>
          <w:lang w:eastAsia="ko-KR"/>
        </w:rPr>
        <w:t>Decisions</w:t>
      </w:r>
    </w:p>
    <w:p w14:paraId="4267FDD1" w14:textId="77777777" w:rsidR="004A37D3" w:rsidRPr="003C7BB7" w:rsidRDefault="004A37D3" w:rsidP="004A37D3">
      <w:pPr>
        <w:pStyle w:val="BodyText"/>
        <w:rPr>
          <w:rFonts w:ascii="Calibri" w:hAnsi="Calibri"/>
          <w:b/>
          <w:bCs/>
        </w:rPr>
      </w:pPr>
      <w:r w:rsidRPr="003C7BB7">
        <w:rPr>
          <w:rFonts w:ascii="Calibri" w:hAnsi="Calibri"/>
          <w:b/>
          <w:bCs/>
        </w:rPr>
        <w:t>Transition Progress</w:t>
      </w:r>
    </w:p>
    <w:p w14:paraId="2A810615" w14:textId="77777777" w:rsidR="004A37D3" w:rsidRPr="003C7BB7" w:rsidRDefault="004A37D3" w:rsidP="004A37D3">
      <w:pPr>
        <w:pStyle w:val="BodyText"/>
        <w:rPr>
          <w:rFonts w:ascii="Calibri" w:hAnsi="Calibri"/>
          <w:lang w:eastAsia="ko-KR"/>
        </w:rPr>
      </w:pPr>
      <w:r w:rsidRPr="003C7BB7">
        <w:rPr>
          <w:rFonts w:ascii="Calibri" w:hAnsi="Calibri"/>
          <w:lang w:eastAsia="ko-KR"/>
        </w:rPr>
        <w:t>The IALA Convention officially came into force on 22 August 2024, with ratifications by 35 states. Additional accessions are expected before the inaugural General Assembly in February 2025.</w:t>
      </w:r>
    </w:p>
    <w:p w14:paraId="32D30E39" w14:textId="77777777" w:rsidR="004A37D3" w:rsidRPr="003C7BB7" w:rsidRDefault="004A37D3" w:rsidP="004A37D3">
      <w:pPr>
        <w:pStyle w:val="BodyText"/>
        <w:rPr>
          <w:rFonts w:ascii="Calibri" w:hAnsi="Calibri"/>
          <w:b/>
          <w:bCs/>
        </w:rPr>
      </w:pPr>
      <w:r w:rsidRPr="003C7BB7">
        <w:rPr>
          <w:rFonts w:ascii="Calibri" w:hAnsi="Calibri"/>
          <w:b/>
          <w:bCs/>
        </w:rPr>
        <w:t>Budget and Relocation</w:t>
      </w:r>
    </w:p>
    <w:p w14:paraId="11C15F0C" w14:textId="540BE072" w:rsidR="004A37D3" w:rsidRPr="004A37D3" w:rsidRDefault="004A37D3" w:rsidP="003C7BB7">
      <w:pPr>
        <w:pStyle w:val="BodyText"/>
        <w:rPr>
          <w:rFonts w:ascii="Calibri" w:hAnsi="Calibri"/>
          <w:lang w:eastAsia="ko-KR"/>
        </w:rPr>
      </w:pPr>
      <w:r>
        <w:rPr>
          <w:rFonts w:ascii="Calibri" w:hAnsi="Calibri" w:hint="eastAsia"/>
          <w:lang w:eastAsia="ko-KR"/>
        </w:rPr>
        <w:t>The Council a</w:t>
      </w:r>
      <w:r w:rsidRPr="003C7BB7">
        <w:rPr>
          <w:rFonts w:ascii="Calibri" w:hAnsi="Calibri"/>
          <w:lang w:eastAsia="ko-KR"/>
        </w:rPr>
        <w:t>pprov</w:t>
      </w:r>
      <w:r>
        <w:rPr>
          <w:rFonts w:ascii="Calibri" w:hAnsi="Calibri" w:hint="eastAsia"/>
          <w:lang w:eastAsia="ko-KR"/>
        </w:rPr>
        <w:t>ed</w:t>
      </w:r>
      <w:r w:rsidRPr="003C7BB7">
        <w:rPr>
          <w:rFonts w:ascii="Calibri" w:hAnsi="Calibri"/>
          <w:lang w:eastAsia="ko-KR"/>
        </w:rPr>
        <w:t xml:space="preserve"> the 2025 budget and plans for constructing a new headquarters in Saint Germain-en-Laye by 2026.</w:t>
      </w:r>
    </w:p>
    <w:p w14:paraId="2F84E8B3" w14:textId="2556E5FA" w:rsidR="003C7BB7" w:rsidRPr="003C7BB7" w:rsidRDefault="003C7BB7" w:rsidP="003C7BB7">
      <w:pPr>
        <w:pStyle w:val="BodyText"/>
        <w:rPr>
          <w:rFonts w:ascii="Calibri" w:hAnsi="Calibri"/>
          <w:b/>
          <w:bCs/>
        </w:rPr>
      </w:pPr>
      <w:r w:rsidRPr="003C7BB7">
        <w:rPr>
          <w:rFonts w:ascii="Calibri" w:hAnsi="Calibri"/>
          <w:b/>
          <w:bCs/>
        </w:rPr>
        <w:t>Technical and Committee Activities</w:t>
      </w:r>
    </w:p>
    <w:p w14:paraId="78F8F336" w14:textId="3C389056" w:rsidR="003C7BB7" w:rsidRPr="00771E0D" w:rsidRDefault="00771E0D" w:rsidP="003C7BB7">
      <w:pPr>
        <w:pStyle w:val="BodyText"/>
        <w:rPr>
          <w:rFonts w:ascii="Calibri" w:hAnsi="Calibri"/>
          <w:lang w:eastAsia="ko-KR"/>
        </w:rPr>
      </w:pPr>
      <w:r w:rsidRPr="00771E0D">
        <w:rPr>
          <w:rFonts w:ascii="Calibri" w:hAnsi="Calibri"/>
          <w:lang w:eastAsia="ko-KR"/>
        </w:rPr>
        <w:t>Key decisions on technical and committee activities included the approval of updates and new documents across various committees. The ARM Committee finalized a revised edition of R0132, focusing on quality management for Marine Aids to Navigation authorities, and introduced new recommendations and guidelines on harmonized waterway datasets and safety enhancements around offshore renewable energy installations. Similarly, the ENG Committee revised critical guidelines, including maintenance strategies and VDES R-Mode, while adopting new documents addressing floating AtoN and medium frequency R-Mode signals. The VTS Committee introduced new quality management practices for VTS providers but returned a draft guideline on interactions with mixed vessel traffic for further review. The DTEC Committee updated e-Navigation technical services and MCP identity guidelines and gained approval for a workshop on IMT technologies, scheduled for September 2025 in Germany.</w:t>
      </w:r>
    </w:p>
    <w:p w14:paraId="5CBA1FF5" w14:textId="62AE0312" w:rsidR="003C7BB7" w:rsidRDefault="00771E0D" w:rsidP="003C7BB7">
      <w:pPr>
        <w:pStyle w:val="BodyText"/>
        <w:rPr>
          <w:rFonts w:ascii="Calibri" w:hAnsi="Calibri"/>
          <w:b/>
          <w:bCs/>
        </w:rPr>
      </w:pPr>
      <w:r w:rsidRPr="00771E0D">
        <w:rPr>
          <w:rFonts w:ascii="Calibri" w:hAnsi="Calibri"/>
          <w:b/>
          <w:bCs/>
        </w:rPr>
        <w:t>International Collaboration</w:t>
      </w:r>
    </w:p>
    <w:p w14:paraId="1CA405BF" w14:textId="60236764" w:rsidR="00A40F4F" w:rsidRPr="00A40F4F" w:rsidRDefault="00A40F4F" w:rsidP="003C7BB7">
      <w:pPr>
        <w:pStyle w:val="BodyText"/>
        <w:rPr>
          <w:rFonts w:ascii="Calibri" w:hAnsi="Calibri"/>
        </w:rPr>
      </w:pPr>
      <w:r w:rsidRPr="00A40F4F">
        <w:rPr>
          <w:rFonts w:ascii="Calibri" w:hAnsi="Calibri"/>
        </w:rPr>
        <w:t xml:space="preserve">International collaboration remained a cornerstone of the Council's activities. Liaison notes were submitted to the IHO regarding the use of S-200 for VTS and to the IEC on enhancements to route planning and VTS use cases. Engagement with IMO included co-sponsored papers on leveraging S-100 ECDIS, improving training for deck officers, and recognizing augmentation systems in WWRNS. Additional submissions covered IALA’s transition to IGO status, enhanced radar positioning systems, and guidelines for IP-based connectivity. Liaison </w:t>
      </w:r>
      <w:r w:rsidRPr="00A40F4F">
        <w:rPr>
          <w:rFonts w:ascii="Calibri" w:hAnsi="Calibri"/>
        </w:rPr>
        <w:lastRenderedPageBreak/>
        <w:t>notes to ITU addressed updates to AIS and VDES and explored the application of IMT technologies to maritime communication.</w:t>
      </w:r>
    </w:p>
    <w:p w14:paraId="344C90B9" w14:textId="7368F5A1" w:rsidR="003C7BB7" w:rsidRDefault="00771E0D" w:rsidP="003C7BB7">
      <w:pPr>
        <w:pStyle w:val="BodyText"/>
        <w:rPr>
          <w:rFonts w:ascii="Calibri" w:hAnsi="Calibri"/>
          <w:b/>
          <w:bCs/>
        </w:rPr>
      </w:pPr>
      <w:r w:rsidRPr="00771E0D">
        <w:rPr>
          <w:rFonts w:ascii="Calibri" w:hAnsi="Calibri"/>
          <w:b/>
          <w:bCs/>
        </w:rPr>
        <w:t>Heritage Lighthouse of the Year 2025</w:t>
      </w:r>
    </w:p>
    <w:p w14:paraId="26743CF2" w14:textId="6033910C" w:rsidR="00A40F4F" w:rsidRPr="00A40F4F" w:rsidRDefault="00A40F4F" w:rsidP="003C7BB7">
      <w:pPr>
        <w:pStyle w:val="BodyText"/>
        <w:rPr>
          <w:rFonts w:ascii="Calibri" w:hAnsi="Calibri"/>
        </w:rPr>
      </w:pPr>
      <w:r w:rsidRPr="00A40F4F">
        <w:rPr>
          <w:rFonts w:ascii="Calibri" w:hAnsi="Calibri"/>
        </w:rPr>
        <w:t xml:space="preserve">Lingao Lighthouse in China was selected as the Heritage Lighthouse of the Year for 2025. </w:t>
      </w:r>
    </w:p>
    <w:p w14:paraId="1128CB36" w14:textId="0EDB01C8" w:rsidR="00771E0D" w:rsidRDefault="00AA640A" w:rsidP="003C7BB7">
      <w:pPr>
        <w:pStyle w:val="BodyText"/>
        <w:rPr>
          <w:rFonts w:ascii="Calibri" w:hAnsi="Calibri"/>
          <w:b/>
          <w:bCs/>
          <w:lang w:eastAsia="ko-KR"/>
        </w:rPr>
      </w:pPr>
      <w:r>
        <w:rPr>
          <w:rFonts w:ascii="Calibri" w:hAnsi="Calibri" w:hint="eastAsia"/>
          <w:b/>
          <w:bCs/>
          <w:lang w:eastAsia="ko-KR"/>
        </w:rPr>
        <w:t>Other decisions</w:t>
      </w:r>
    </w:p>
    <w:p w14:paraId="47DE5EF0" w14:textId="382AC600" w:rsidR="00771E0D" w:rsidRPr="003C7BB7" w:rsidRDefault="00A40F4F" w:rsidP="003C7BB7">
      <w:pPr>
        <w:pStyle w:val="BodyText"/>
        <w:rPr>
          <w:rFonts w:ascii="Calibri" w:hAnsi="Calibri"/>
        </w:rPr>
      </w:pPr>
      <w:r w:rsidRPr="00A40F4F">
        <w:rPr>
          <w:rFonts w:ascii="Calibri" w:hAnsi="Calibri"/>
        </w:rPr>
        <w:t>Honorary memberships were granted to individuals who significantly contributed to IALA’s mission. The Council also approved preparations for the upcoming General Assembly in Singapore and plans for workshops and events aimed at advancing maritime navigation technologies.</w:t>
      </w:r>
    </w:p>
    <w:p w14:paraId="7A8D2F27" w14:textId="77777777" w:rsidR="00A446C9" w:rsidRPr="007A395D" w:rsidRDefault="00A446C9" w:rsidP="00605E43">
      <w:pPr>
        <w:pStyle w:val="Heading1"/>
      </w:pPr>
      <w:r w:rsidRPr="007A395D">
        <w:t>Action requested of the Committee</w:t>
      </w:r>
    </w:p>
    <w:p w14:paraId="500F3346" w14:textId="1E200C4F" w:rsidR="002300CD" w:rsidRDefault="00394293" w:rsidP="00516430">
      <w:pPr>
        <w:pStyle w:val="Heading4"/>
        <w:numPr>
          <w:ilvl w:val="0"/>
          <w:numId w:val="0"/>
        </w:numPr>
        <w:rPr>
          <w:rFonts w:asciiTheme="minorHAnsi" w:hAnsiTheme="minorHAnsi" w:cstheme="minorHAnsi"/>
        </w:rPr>
      </w:pPr>
      <w:r w:rsidRPr="00233F46">
        <w:rPr>
          <w:rFonts w:asciiTheme="minorHAnsi" w:hAnsiTheme="minorHAnsi" w:cstheme="minorHAnsi"/>
          <w:b/>
          <w:bCs/>
        </w:rPr>
        <w:t>Note</w:t>
      </w:r>
      <w:r w:rsidRPr="00394293">
        <w:rPr>
          <w:rFonts w:asciiTheme="minorHAnsi" w:hAnsiTheme="minorHAnsi" w:cstheme="minorHAnsi"/>
        </w:rPr>
        <w:t xml:space="preserve"> </w:t>
      </w:r>
      <w:r w:rsidRPr="00394293">
        <w:rPr>
          <w:rFonts w:asciiTheme="minorHAnsi" w:hAnsiTheme="minorHAnsi" w:cstheme="minorHAnsi"/>
          <w:bCs/>
        </w:rPr>
        <w:t>the information provided.</w:t>
      </w:r>
      <w:r w:rsidRPr="00394293">
        <w:rPr>
          <w:rFonts w:asciiTheme="minorHAnsi" w:hAnsiTheme="minorHAnsi" w:cstheme="minorHAnsi"/>
        </w:rPr>
        <w:t xml:space="preserve"> </w:t>
      </w:r>
    </w:p>
    <w:p w14:paraId="0A474B08" w14:textId="6C16302B" w:rsidR="006E0AAA" w:rsidRDefault="006E0AAA">
      <w:pPr>
        <w:rPr>
          <w:lang w:val="en-US" w:eastAsia="de-DE"/>
        </w:rPr>
      </w:pPr>
      <w:r>
        <w:rPr>
          <w:lang w:val="en-US" w:eastAsia="de-DE"/>
        </w:rPr>
        <w:br w:type="page"/>
      </w:r>
    </w:p>
    <w:p w14:paraId="39842060" w14:textId="67202EED" w:rsidR="003F0392" w:rsidRPr="003F0392" w:rsidRDefault="003F0392" w:rsidP="003F0392">
      <w:pPr>
        <w:spacing w:before="100" w:beforeAutospacing="1" w:after="100" w:afterAutospacing="1"/>
        <w:jc w:val="both"/>
        <w:rPr>
          <w:rFonts w:eastAsia="Times New Roman" w:cs="Times New Roman"/>
          <w:b/>
          <w:bCs/>
        </w:rPr>
      </w:pPr>
      <w:r w:rsidRPr="003F0392">
        <w:rPr>
          <w:rFonts w:eastAsia="Malgun Gothic" w:cs="Times New Roman" w:hint="eastAsia"/>
          <w:b/>
          <w:bCs/>
          <w:lang w:eastAsia="ko-KR"/>
        </w:rPr>
        <w:lastRenderedPageBreak/>
        <w:t>Annex List of the documents</w:t>
      </w:r>
    </w:p>
    <w:p w14:paraId="628AD139" w14:textId="1CE287E5" w:rsidR="006E0AAA" w:rsidRPr="003F0392" w:rsidRDefault="006E0AAA" w:rsidP="003F0392">
      <w:pPr>
        <w:numPr>
          <w:ilvl w:val="0"/>
          <w:numId w:val="30"/>
        </w:numPr>
        <w:spacing w:before="100" w:beforeAutospacing="1" w:after="100" w:afterAutospacing="1" w:line="276" w:lineRule="auto"/>
        <w:jc w:val="both"/>
        <w:rPr>
          <w:rFonts w:eastAsia="Times New Roman" w:cs="Times New Roman"/>
        </w:rPr>
      </w:pPr>
      <w:r w:rsidRPr="003F0392">
        <w:rPr>
          <w:rFonts w:eastAsia="Times New Roman" w:cs="Times New Roman"/>
        </w:rPr>
        <w:t>ARM Committee:</w:t>
      </w:r>
    </w:p>
    <w:p w14:paraId="02896375"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Revised R0132 </w:t>
      </w:r>
      <w:r w:rsidRPr="0048283B">
        <w:rPr>
          <w:rFonts w:cs="Times New Roman"/>
        </w:rPr>
        <w:t xml:space="preserve">- </w:t>
      </w:r>
      <w:r w:rsidRPr="004E63AA">
        <w:rPr>
          <w:rFonts w:eastAsia="Times New Roman" w:cs="Times New Roman"/>
        </w:rPr>
        <w:t>Quality Management for Marine AtoN Authorities</w:t>
      </w:r>
      <w:r w:rsidRPr="0048283B">
        <w:rPr>
          <w:rFonts w:cs="Times New Roman"/>
        </w:rPr>
        <w:t>, Ed3.0</w:t>
      </w:r>
    </w:p>
    <w:p w14:paraId="6BB93A9F"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New Recommendation </w:t>
      </w:r>
      <w:r w:rsidRPr="0048283B">
        <w:rPr>
          <w:rFonts w:cs="Times New Roman"/>
        </w:rPr>
        <w:t xml:space="preserve">R1025 - </w:t>
      </w:r>
      <w:r w:rsidRPr="004E63AA">
        <w:rPr>
          <w:rFonts w:eastAsia="Times New Roman" w:cs="Times New Roman"/>
        </w:rPr>
        <w:t>Harmonized Waterway Datasets</w:t>
      </w:r>
      <w:r w:rsidRPr="0048283B">
        <w:rPr>
          <w:rFonts w:cs="Times New Roman"/>
        </w:rPr>
        <w:t xml:space="preserve">, </w:t>
      </w:r>
      <w:r w:rsidRPr="004E63AA">
        <w:rPr>
          <w:rFonts w:eastAsia="Times New Roman" w:cs="Times New Roman"/>
        </w:rPr>
        <w:t>Ed1.0</w:t>
      </w:r>
    </w:p>
    <w:p w14:paraId="3C0ACBAB"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New Guideline </w:t>
      </w:r>
      <w:r w:rsidRPr="0048283B">
        <w:rPr>
          <w:rFonts w:cs="Times New Roman"/>
        </w:rPr>
        <w:t>G1184</w:t>
      </w:r>
      <w:r w:rsidRPr="004E63AA">
        <w:rPr>
          <w:rFonts w:eastAsia="Times New Roman" w:cs="Times New Roman"/>
        </w:rPr>
        <w:t xml:space="preserve"> </w:t>
      </w:r>
      <w:r w:rsidRPr="0048283B">
        <w:rPr>
          <w:rFonts w:cs="Times New Roman"/>
        </w:rPr>
        <w:t xml:space="preserve">- </w:t>
      </w:r>
      <w:r w:rsidRPr="004E63AA">
        <w:rPr>
          <w:rFonts w:eastAsia="Times New Roman" w:cs="Times New Roman"/>
        </w:rPr>
        <w:t>Harmonized Waterway Datasets</w:t>
      </w:r>
      <w:r w:rsidRPr="0048283B">
        <w:rPr>
          <w:rFonts w:cs="Times New Roman"/>
        </w:rPr>
        <w:t xml:space="preserve">, </w:t>
      </w:r>
      <w:r w:rsidRPr="004E63AA">
        <w:rPr>
          <w:rFonts w:eastAsia="Times New Roman" w:cs="Times New Roman"/>
        </w:rPr>
        <w:t>Ed1.0</w:t>
      </w:r>
    </w:p>
    <w:p w14:paraId="05342AE1"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New Guideline </w:t>
      </w:r>
      <w:r w:rsidRPr="0048283B">
        <w:rPr>
          <w:rFonts w:cs="Times New Roman"/>
        </w:rPr>
        <w:t xml:space="preserve">G1185 - </w:t>
      </w:r>
      <w:r w:rsidRPr="004E63AA">
        <w:rPr>
          <w:rFonts w:eastAsia="Times New Roman" w:cs="Times New Roman"/>
        </w:rPr>
        <w:t xml:space="preserve">Enhancing Safety Around Offshore Renewable Energy Installations </w:t>
      </w:r>
      <w:r w:rsidRPr="0048283B">
        <w:rPr>
          <w:rFonts w:cs="Times New Roman"/>
        </w:rPr>
        <w:t xml:space="preserve">(OREI), </w:t>
      </w:r>
      <w:r w:rsidRPr="004E63AA">
        <w:rPr>
          <w:rFonts w:eastAsia="Times New Roman" w:cs="Times New Roman"/>
        </w:rPr>
        <w:t>Ed1.0</w:t>
      </w:r>
    </w:p>
    <w:p w14:paraId="3D5D9F5A" w14:textId="77777777" w:rsidR="006E0AAA" w:rsidRPr="003F0392" w:rsidRDefault="006E0AAA" w:rsidP="003F0392">
      <w:pPr>
        <w:numPr>
          <w:ilvl w:val="0"/>
          <w:numId w:val="30"/>
        </w:numPr>
        <w:spacing w:before="100" w:beforeAutospacing="1" w:after="100" w:afterAutospacing="1" w:line="276" w:lineRule="auto"/>
        <w:jc w:val="both"/>
        <w:rPr>
          <w:rFonts w:eastAsia="Times New Roman" w:cs="Times New Roman"/>
        </w:rPr>
      </w:pPr>
      <w:r w:rsidRPr="003F0392">
        <w:rPr>
          <w:rFonts w:eastAsia="Times New Roman" w:cs="Times New Roman"/>
        </w:rPr>
        <w:t>ENG Committee:</w:t>
      </w:r>
    </w:p>
    <w:p w14:paraId="4BB72094"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Revised G1077 </w:t>
      </w:r>
      <w:r w:rsidRPr="0048283B">
        <w:rPr>
          <w:rFonts w:cs="Times New Roman"/>
        </w:rPr>
        <w:t>-</w:t>
      </w:r>
      <w:r w:rsidRPr="004E63AA">
        <w:rPr>
          <w:rFonts w:eastAsia="Times New Roman" w:cs="Times New Roman"/>
        </w:rPr>
        <w:t xml:space="preserve"> Maintenance Strategy for Aids to Navigation</w:t>
      </w:r>
      <w:r w:rsidRPr="0048283B">
        <w:rPr>
          <w:rFonts w:cs="Times New Roman"/>
        </w:rPr>
        <w:t xml:space="preserve">, </w:t>
      </w:r>
      <w:r w:rsidRPr="004E63AA">
        <w:rPr>
          <w:rFonts w:eastAsia="Times New Roman" w:cs="Times New Roman"/>
        </w:rPr>
        <w:t>Ed2.0</w:t>
      </w:r>
    </w:p>
    <w:p w14:paraId="4B69A249"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Revised G1158 </w:t>
      </w:r>
      <w:r w:rsidRPr="0048283B">
        <w:rPr>
          <w:rFonts w:cs="Times New Roman"/>
        </w:rPr>
        <w:t>-</w:t>
      </w:r>
      <w:r w:rsidRPr="004E63AA">
        <w:rPr>
          <w:rFonts w:eastAsia="Times New Roman" w:cs="Times New Roman"/>
        </w:rPr>
        <w:t xml:space="preserve"> VDES R-Mode</w:t>
      </w:r>
      <w:r w:rsidRPr="0048283B">
        <w:rPr>
          <w:rFonts w:cs="Times New Roman"/>
        </w:rPr>
        <w:t xml:space="preserve">, </w:t>
      </w:r>
      <w:r w:rsidRPr="004E63AA">
        <w:rPr>
          <w:rFonts w:eastAsia="Times New Roman" w:cs="Times New Roman"/>
        </w:rPr>
        <w:t>Ed2.0</w:t>
      </w:r>
    </w:p>
    <w:p w14:paraId="2E83A02A"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Revised G1175 </w:t>
      </w:r>
      <w:r w:rsidRPr="0048283B">
        <w:rPr>
          <w:rFonts w:cs="Times New Roman"/>
        </w:rPr>
        <w:t>-</w:t>
      </w:r>
      <w:r w:rsidRPr="004E63AA">
        <w:rPr>
          <w:rFonts w:eastAsia="Times New Roman" w:cs="Times New Roman"/>
        </w:rPr>
        <w:t xml:space="preserve"> </w:t>
      </w:r>
      <w:r w:rsidRPr="0048283B">
        <w:rPr>
          <w:rFonts w:cs="Times New Roman"/>
        </w:rPr>
        <w:t xml:space="preserve">Operation and management of </w:t>
      </w:r>
      <w:r w:rsidRPr="004E63AA">
        <w:rPr>
          <w:rFonts w:eastAsia="Times New Roman" w:cs="Times New Roman"/>
        </w:rPr>
        <w:t>AtoN Management in Extreme Conditions</w:t>
      </w:r>
      <w:r w:rsidRPr="0048283B">
        <w:rPr>
          <w:rFonts w:cs="Times New Roman"/>
        </w:rPr>
        <w:t xml:space="preserve">, </w:t>
      </w:r>
      <w:r w:rsidRPr="004E63AA">
        <w:rPr>
          <w:rFonts w:eastAsia="Times New Roman" w:cs="Times New Roman"/>
        </w:rPr>
        <w:t>Ed2.0</w:t>
      </w:r>
    </w:p>
    <w:p w14:paraId="0AA43657"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New Guideline </w:t>
      </w:r>
      <w:r w:rsidRPr="0048283B">
        <w:rPr>
          <w:rFonts w:cs="Times New Roman"/>
        </w:rPr>
        <w:t>G1186 -</w:t>
      </w:r>
      <w:r w:rsidRPr="004E63AA">
        <w:rPr>
          <w:rFonts w:eastAsia="Times New Roman" w:cs="Times New Roman"/>
        </w:rPr>
        <w:t xml:space="preserve"> Overview of Floating AtoN</w:t>
      </w:r>
      <w:r w:rsidRPr="0048283B">
        <w:rPr>
          <w:rFonts w:cs="Times New Roman"/>
        </w:rPr>
        <w:t xml:space="preserve">, </w:t>
      </w:r>
      <w:r w:rsidRPr="004E63AA">
        <w:rPr>
          <w:rFonts w:eastAsia="Times New Roman" w:cs="Times New Roman"/>
        </w:rPr>
        <w:t>Ed1.0</w:t>
      </w:r>
    </w:p>
    <w:p w14:paraId="58C55B3B" w14:textId="77777777" w:rsidR="006E0AAA" w:rsidRPr="0048283B"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New Guideline </w:t>
      </w:r>
      <w:r w:rsidRPr="0048283B">
        <w:rPr>
          <w:rFonts w:cs="Times New Roman"/>
        </w:rPr>
        <w:t>G1187</w:t>
      </w:r>
      <w:r w:rsidRPr="004E63AA">
        <w:rPr>
          <w:rFonts w:eastAsia="Times New Roman" w:cs="Times New Roman"/>
        </w:rPr>
        <w:t xml:space="preserve"> </w:t>
      </w:r>
      <w:r w:rsidRPr="0048283B">
        <w:rPr>
          <w:rFonts w:cs="Times New Roman"/>
        </w:rPr>
        <w:t xml:space="preserve">- </w:t>
      </w:r>
      <w:r w:rsidRPr="004E63AA">
        <w:rPr>
          <w:rFonts w:eastAsia="Times New Roman" w:cs="Times New Roman"/>
        </w:rPr>
        <w:t>Medium Frequency R-Mode Signal Structure</w:t>
      </w:r>
      <w:r w:rsidRPr="0048283B">
        <w:rPr>
          <w:rFonts w:cs="Times New Roman"/>
        </w:rPr>
        <w:t xml:space="preserve"> and navigation message, </w:t>
      </w:r>
      <w:r w:rsidRPr="004E63AA">
        <w:rPr>
          <w:rFonts w:eastAsia="Times New Roman" w:cs="Times New Roman"/>
        </w:rPr>
        <w:t>Ed1.0</w:t>
      </w:r>
    </w:p>
    <w:p w14:paraId="2649C60B" w14:textId="77777777" w:rsidR="006E0AAA" w:rsidRPr="004E63AA" w:rsidRDefault="006E0AAA" w:rsidP="003F0392">
      <w:pPr>
        <w:numPr>
          <w:ilvl w:val="1"/>
          <w:numId w:val="30"/>
        </w:numPr>
        <w:spacing w:before="100" w:beforeAutospacing="1" w:after="100" w:afterAutospacing="1" w:line="276" w:lineRule="auto"/>
        <w:jc w:val="both"/>
      </w:pPr>
      <w:r w:rsidRPr="0048283B">
        <w:rPr>
          <w:rFonts w:cs="Times New Roman"/>
        </w:rPr>
        <w:t xml:space="preserve">Input on CIE </w:t>
      </w:r>
      <w:bookmarkStart w:id="0" w:name="_Toc184889386"/>
      <w:r w:rsidRPr="0048283B">
        <w:t>Research Group on Cone fundamentals</w:t>
      </w:r>
      <w:bookmarkEnd w:id="0"/>
      <w:r w:rsidRPr="0048283B">
        <w:t xml:space="preserve"> - The Council approved IALA’s participation in the CIE research forum on the adoption of “Cone Fundamentals” in photometry and colorimetry, ensuring representation in discussions on updates to fundamental colour matching functions.</w:t>
      </w:r>
    </w:p>
    <w:p w14:paraId="773F6524" w14:textId="77777777" w:rsidR="006E0AAA" w:rsidRPr="003F0392" w:rsidRDefault="006E0AAA" w:rsidP="003F0392">
      <w:pPr>
        <w:numPr>
          <w:ilvl w:val="0"/>
          <w:numId w:val="30"/>
        </w:numPr>
        <w:spacing w:before="100" w:beforeAutospacing="1" w:after="100" w:afterAutospacing="1" w:line="276" w:lineRule="auto"/>
        <w:jc w:val="both"/>
        <w:rPr>
          <w:rFonts w:eastAsia="Times New Roman" w:cs="Times New Roman"/>
        </w:rPr>
      </w:pPr>
      <w:r w:rsidRPr="003F0392">
        <w:rPr>
          <w:rFonts w:eastAsia="Times New Roman" w:cs="Times New Roman"/>
        </w:rPr>
        <w:t>VTS Committee:</w:t>
      </w:r>
    </w:p>
    <w:p w14:paraId="56180B6A" w14:textId="77777777" w:rsidR="006E0AAA" w:rsidRPr="00C306F8" w:rsidRDefault="006E0AAA" w:rsidP="003F0392">
      <w:pPr>
        <w:numPr>
          <w:ilvl w:val="1"/>
          <w:numId w:val="30"/>
        </w:numPr>
        <w:spacing w:before="100" w:beforeAutospacing="1" w:after="100" w:afterAutospacing="1" w:line="276" w:lineRule="auto"/>
        <w:jc w:val="both"/>
        <w:rPr>
          <w:rFonts w:eastAsia="Times New Roman" w:cs="Times New Roman"/>
        </w:rPr>
      </w:pPr>
      <w:r w:rsidRPr="00C306F8">
        <w:rPr>
          <w:rFonts w:eastAsia="Times New Roman" w:cs="Times New Roman"/>
        </w:rPr>
        <w:t xml:space="preserve">New Guideline </w:t>
      </w:r>
      <w:r w:rsidRPr="00C306F8">
        <w:rPr>
          <w:rFonts w:cs="Times New Roman"/>
        </w:rPr>
        <w:t>G1188 -</w:t>
      </w:r>
      <w:r w:rsidRPr="00C306F8">
        <w:rPr>
          <w:rFonts w:eastAsia="Times New Roman" w:cs="Times New Roman"/>
        </w:rPr>
        <w:t xml:space="preserve"> Quality Management Practices for VTS Providers</w:t>
      </w:r>
      <w:r w:rsidRPr="00C306F8">
        <w:rPr>
          <w:rFonts w:cs="Times New Roman"/>
        </w:rPr>
        <w:t xml:space="preserve">, </w:t>
      </w:r>
      <w:r w:rsidRPr="00C306F8">
        <w:rPr>
          <w:rFonts w:eastAsia="Times New Roman" w:cs="Times New Roman"/>
        </w:rPr>
        <w:t>Ed1.0</w:t>
      </w:r>
    </w:p>
    <w:p w14:paraId="737ACCBA" w14:textId="77777777" w:rsidR="006E0AAA" w:rsidRPr="00C306F8" w:rsidRDefault="006E0AAA" w:rsidP="003F0392">
      <w:pPr>
        <w:numPr>
          <w:ilvl w:val="1"/>
          <w:numId w:val="30"/>
        </w:numPr>
        <w:spacing w:before="100" w:beforeAutospacing="1" w:after="100" w:afterAutospacing="1" w:line="276" w:lineRule="auto"/>
        <w:jc w:val="both"/>
        <w:rPr>
          <w:rFonts w:eastAsia="Times New Roman" w:cs="Times New Roman"/>
        </w:rPr>
      </w:pPr>
      <w:r w:rsidRPr="00C306F8">
        <w:rPr>
          <w:rFonts w:eastAsia="Times New Roman" w:cs="Times New Roman"/>
        </w:rPr>
        <w:t>Draft Guideline – VTS Interaction with Conventional, Automated, and Autonomous Ships (Sent back for further review</w:t>
      </w:r>
      <w:r w:rsidRPr="00C306F8">
        <w:rPr>
          <w:rFonts w:cs="Times New Roman"/>
        </w:rPr>
        <w:t xml:space="preserve"> by the Committee and PAP</w:t>
      </w:r>
      <w:r w:rsidRPr="00C306F8">
        <w:rPr>
          <w:rFonts w:eastAsia="Times New Roman" w:cs="Times New Roman"/>
        </w:rPr>
        <w:t>)</w:t>
      </w:r>
    </w:p>
    <w:p w14:paraId="490CF900" w14:textId="77777777" w:rsidR="006E0AAA" w:rsidRPr="003F0392" w:rsidRDefault="006E0AAA" w:rsidP="003F0392">
      <w:pPr>
        <w:numPr>
          <w:ilvl w:val="0"/>
          <w:numId w:val="30"/>
        </w:numPr>
        <w:spacing w:before="100" w:beforeAutospacing="1" w:after="100" w:afterAutospacing="1" w:line="276" w:lineRule="auto"/>
        <w:jc w:val="both"/>
        <w:rPr>
          <w:rFonts w:eastAsia="Times New Roman" w:cs="Times New Roman"/>
        </w:rPr>
      </w:pPr>
      <w:r w:rsidRPr="003F0392">
        <w:rPr>
          <w:rFonts w:eastAsia="Times New Roman" w:cs="Times New Roman"/>
        </w:rPr>
        <w:t>DTEC Committee:</w:t>
      </w:r>
    </w:p>
    <w:p w14:paraId="11B9518A"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Revised G1128 </w:t>
      </w:r>
      <w:r w:rsidRPr="0048283B">
        <w:rPr>
          <w:rFonts w:cs="Times New Roman"/>
        </w:rPr>
        <w:t>-</w:t>
      </w:r>
      <w:r w:rsidRPr="004E63AA">
        <w:rPr>
          <w:rFonts w:eastAsia="Times New Roman" w:cs="Times New Roman"/>
        </w:rPr>
        <w:t xml:space="preserve"> Specification of e-Navigation Technical Services</w:t>
      </w:r>
      <w:r w:rsidRPr="0048283B">
        <w:rPr>
          <w:rFonts w:cs="Times New Roman"/>
        </w:rPr>
        <w:t xml:space="preserve">, </w:t>
      </w:r>
      <w:r w:rsidRPr="004E63AA">
        <w:rPr>
          <w:rFonts w:eastAsia="Times New Roman" w:cs="Times New Roman"/>
        </w:rPr>
        <w:t>Ed1.6</w:t>
      </w:r>
    </w:p>
    <w:p w14:paraId="0D79DB20"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Revised G1183 </w:t>
      </w:r>
      <w:r w:rsidRPr="0048283B">
        <w:rPr>
          <w:rFonts w:cs="Times New Roman"/>
        </w:rPr>
        <w:t>-</w:t>
      </w:r>
      <w:r w:rsidRPr="004E63AA">
        <w:rPr>
          <w:rFonts w:eastAsia="Times New Roman" w:cs="Times New Roman"/>
        </w:rPr>
        <w:t xml:space="preserve"> Provision of MCP Identities</w:t>
      </w:r>
      <w:r w:rsidRPr="0048283B">
        <w:rPr>
          <w:rFonts w:cs="Times New Roman"/>
        </w:rPr>
        <w:t xml:space="preserve">, </w:t>
      </w:r>
      <w:r w:rsidRPr="004E63AA">
        <w:rPr>
          <w:rFonts w:eastAsia="Times New Roman" w:cs="Times New Roman"/>
        </w:rPr>
        <w:t>Ed1.1</w:t>
      </w:r>
    </w:p>
    <w:p w14:paraId="16D812C0" w14:textId="77777777" w:rsidR="006E0AAA" w:rsidRPr="0048283B"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Workshop Proposal – IMT for Marine AtoN</w:t>
      </w:r>
      <w:r w:rsidRPr="0048283B">
        <w:rPr>
          <w:rFonts w:cs="Times New Roman"/>
        </w:rPr>
        <w:t>, Sep 2025, Germany</w:t>
      </w:r>
      <w:r w:rsidRPr="004E63AA">
        <w:rPr>
          <w:rFonts w:eastAsia="Times New Roman" w:cs="Times New Roman"/>
        </w:rPr>
        <w:t xml:space="preserve"> (Approved)</w:t>
      </w:r>
    </w:p>
    <w:p w14:paraId="7A540519"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8283B">
        <w:rPr>
          <w:rFonts w:cs="Times New Roman"/>
        </w:rPr>
        <w:t>Revised document on Maritime Radio Communication (MARCOM) Manual (Secretariat is finalizing the document with the designer for the print version.)</w:t>
      </w:r>
    </w:p>
    <w:p w14:paraId="2A42DFA7" w14:textId="77777777" w:rsidR="006E0AAA" w:rsidRPr="006E0AAA" w:rsidRDefault="006E0AAA" w:rsidP="006E0AAA">
      <w:pPr>
        <w:pStyle w:val="BodyTextIndent"/>
        <w:rPr>
          <w:lang w:val="en-US" w:eastAsia="de-DE"/>
        </w:rPr>
      </w:pPr>
    </w:p>
    <w:sectPr w:rsidR="006E0AAA" w:rsidRPr="006E0AAA"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607F27" w14:textId="77777777" w:rsidR="002B2870" w:rsidRDefault="002B2870" w:rsidP="00362CD9">
      <w:r>
        <w:separator/>
      </w:r>
    </w:p>
  </w:endnote>
  <w:endnote w:type="continuationSeparator" w:id="0">
    <w:p w14:paraId="2B7C8BDF" w14:textId="77777777" w:rsidR="002B2870" w:rsidRDefault="002B287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3DA91EB8"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B0277D" w14:textId="77777777" w:rsidR="002B2870" w:rsidRDefault="002B2870" w:rsidP="00362CD9">
      <w:r>
        <w:separator/>
      </w:r>
    </w:p>
  </w:footnote>
  <w:footnote w:type="continuationSeparator" w:id="0">
    <w:p w14:paraId="3AB40EE3" w14:textId="77777777" w:rsidR="002B2870" w:rsidRDefault="002B2870"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7CBBFFC9"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14A3718B">
          <wp:simplePos x="0" y="0"/>
          <wp:positionH relativeFrom="column">
            <wp:posOffset>5533390</wp:posOffset>
          </wp:positionH>
          <wp:positionV relativeFrom="paragraph">
            <wp:posOffset>-294005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27B5BF93"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A0E59"/>
    <w:multiLevelType w:val="hybridMultilevel"/>
    <w:tmpl w:val="21681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766228"/>
    <w:multiLevelType w:val="hybridMultilevel"/>
    <w:tmpl w:val="8146B8D8"/>
    <w:lvl w:ilvl="0" w:tplc="88300844">
      <w:start w:val="5"/>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30257B9"/>
    <w:multiLevelType w:val="multilevel"/>
    <w:tmpl w:val="154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C4D7923"/>
    <w:multiLevelType w:val="multilevel"/>
    <w:tmpl w:val="0106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10260E"/>
    <w:multiLevelType w:val="multilevel"/>
    <w:tmpl w:val="37BCB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8FF51F2"/>
    <w:multiLevelType w:val="hybridMultilevel"/>
    <w:tmpl w:val="FEF6D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D8D18DD"/>
    <w:multiLevelType w:val="multilevel"/>
    <w:tmpl w:val="145C8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577EBD"/>
    <w:multiLevelType w:val="multilevel"/>
    <w:tmpl w:val="C33E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555B09"/>
    <w:multiLevelType w:val="multilevel"/>
    <w:tmpl w:val="7FB2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4B50FD"/>
    <w:multiLevelType w:val="multilevel"/>
    <w:tmpl w:val="897E3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7BF107C"/>
    <w:multiLevelType w:val="hybridMultilevel"/>
    <w:tmpl w:val="626C3432"/>
    <w:lvl w:ilvl="0" w:tplc="36FA7D74">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F171DD7"/>
    <w:multiLevelType w:val="hybridMultilevel"/>
    <w:tmpl w:val="D17AD094"/>
    <w:lvl w:ilvl="0" w:tplc="6DACD67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22D7D1A"/>
    <w:multiLevelType w:val="hybridMultilevel"/>
    <w:tmpl w:val="30768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EB667B5"/>
    <w:multiLevelType w:val="multilevel"/>
    <w:tmpl w:val="B4665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57667">
    <w:abstractNumId w:val="24"/>
  </w:num>
  <w:num w:numId="2" w16cid:durableId="273825793">
    <w:abstractNumId w:val="18"/>
  </w:num>
  <w:num w:numId="3" w16cid:durableId="542251113">
    <w:abstractNumId w:val="3"/>
  </w:num>
  <w:num w:numId="4" w16cid:durableId="441730938">
    <w:abstractNumId w:val="26"/>
  </w:num>
  <w:num w:numId="5" w16cid:durableId="953445795">
    <w:abstractNumId w:val="10"/>
  </w:num>
  <w:num w:numId="6" w16cid:durableId="711656638">
    <w:abstractNumId w:val="9"/>
  </w:num>
  <w:num w:numId="7" w16cid:durableId="961574725">
    <w:abstractNumId w:val="21"/>
  </w:num>
  <w:num w:numId="8" w16cid:durableId="1279677472">
    <w:abstractNumId w:val="19"/>
  </w:num>
  <w:num w:numId="9" w16cid:durableId="719592543">
    <w:abstractNumId w:val="25"/>
  </w:num>
  <w:num w:numId="10" w16cid:durableId="277414519">
    <w:abstractNumId w:val="8"/>
  </w:num>
  <w:num w:numId="11" w16cid:durableId="1446535492">
    <w:abstractNumId w:val="22"/>
  </w:num>
  <w:num w:numId="12" w16cid:durableId="868035018">
    <w:abstractNumId w:val="15"/>
  </w:num>
  <w:num w:numId="13" w16cid:durableId="2026443237">
    <w:abstractNumId w:val="13"/>
  </w:num>
  <w:num w:numId="14" w16cid:durableId="274875165">
    <w:abstractNumId w:val="5"/>
  </w:num>
  <w:num w:numId="15" w16cid:durableId="921598306">
    <w:abstractNumId w:val="17"/>
  </w:num>
  <w:num w:numId="16" w16cid:durableId="36123212">
    <w:abstractNumId w:val="1"/>
  </w:num>
  <w:num w:numId="17" w16cid:durableId="1787429411">
    <w:abstractNumId w:val="27"/>
  </w:num>
  <w:num w:numId="18" w16cid:durableId="2080639164">
    <w:abstractNumId w:val="11"/>
  </w:num>
  <w:num w:numId="19" w16cid:durableId="341519012">
    <w:abstractNumId w:val="14"/>
  </w:num>
  <w:num w:numId="20" w16cid:durableId="1387992271">
    <w:abstractNumId w:val="28"/>
  </w:num>
  <w:num w:numId="21" w16cid:durableId="1799642806">
    <w:abstractNumId w:val="16"/>
  </w:num>
  <w:num w:numId="22" w16cid:durableId="1829125166">
    <w:abstractNumId w:val="0"/>
  </w:num>
  <w:num w:numId="23" w16cid:durableId="707485253">
    <w:abstractNumId w:val="6"/>
  </w:num>
  <w:num w:numId="24" w16cid:durableId="1167746315">
    <w:abstractNumId w:val="23"/>
  </w:num>
  <w:num w:numId="25" w16cid:durableId="1008673221">
    <w:abstractNumId w:val="2"/>
  </w:num>
  <w:num w:numId="26" w16cid:durableId="1427311413">
    <w:abstractNumId w:val="29"/>
  </w:num>
  <w:num w:numId="27" w16cid:durableId="1317488478">
    <w:abstractNumId w:val="20"/>
  </w:num>
  <w:num w:numId="28" w16cid:durableId="423575080">
    <w:abstractNumId w:val="7"/>
  </w:num>
  <w:num w:numId="29" w16cid:durableId="1312293333">
    <w:abstractNumId w:val="4"/>
  </w:num>
  <w:num w:numId="30" w16cid:durableId="731538097">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6"/>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MDQxtzQ0tDAzMjJV0lEKTi0uzszPAykwrQUABjn4kywAAAA="/>
  </w:docVars>
  <w:rsids>
    <w:rsidRoot w:val="00FE5674"/>
    <w:rsid w:val="000005D3"/>
    <w:rsid w:val="000049D8"/>
    <w:rsid w:val="000205EE"/>
    <w:rsid w:val="00026AAB"/>
    <w:rsid w:val="00036A03"/>
    <w:rsid w:val="00036B9E"/>
    <w:rsid w:val="00037DF4"/>
    <w:rsid w:val="0004700E"/>
    <w:rsid w:val="00066B85"/>
    <w:rsid w:val="00070C13"/>
    <w:rsid w:val="000715C9"/>
    <w:rsid w:val="00081FC9"/>
    <w:rsid w:val="00082035"/>
    <w:rsid w:val="00084F33"/>
    <w:rsid w:val="000A70E1"/>
    <w:rsid w:val="000A77A7"/>
    <w:rsid w:val="000B1707"/>
    <w:rsid w:val="000B5DA4"/>
    <w:rsid w:val="000C0F74"/>
    <w:rsid w:val="000C1B3E"/>
    <w:rsid w:val="000C349E"/>
    <w:rsid w:val="000D31B5"/>
    <w:rsid w:val="000E7981"/>
    <w:rsid w:val="000F0C27"/>
    <w:rsid w:val="00103FFF"/>
    <w:rsid w:val="0010494D"/>
    <w:rsid w:val="00110AE7"/>
    <w:rsid w:val="00115322"/>
    <w:rsid w:val="0012231B"/>
    <w:rsid w:val="00123081"/>
    <w:rsid w:val="0013728B"/>
    <w:rsid w:val="00165F02"/>
    <w:rsid w:val="00177F4D"/>
    <w:rsid w:val="00180DDA"/>
    <w:rsid w:val="001A1520"/>
    <w:rsid w:val="001B2A2D"/>
    <w:rsid w:val="001B737D"/>
    <w:rsid w:val="001C44A3"/>
    <w:rsid w:val="001E0E15"/>
    <w:rsid w:val="001F528A"/>
    <w:rsid w:val="001F704E"/>
    <w:rsid w:val="001F733C"/>
    <w:rsid w:val="00201722"/>
    <w:rsid w:val="00202F66"/>
    <w:rsid w:val="002125B0"/>
    <w:rsid w:val="002300CD"/>
    <w:rsid w:val="00233F46"/>
    <w:rsid w:val="00243228"/>
    <w:rsid w:val="00251483"/>
    <w:rsid w:val="00255CAA"/>
    <w:rsid w:val="00264305"/>
    <w:rsid w:val="0027236F"/>
    <w:rsid w:val="002734B4"/>
    <w:rsid w:val="002853AE"/>
    <w:rsid w:val="0028701D"/>
    <w:rsid w:val="002A0346"/>
    <w:rsid w:val="002A32F2"/>
    <w:rsid w:val="002A4487"/>
    <w:rsid w:val="002B2870"/>
    <w:rsid w:val="002B441C"/>
    <w:rsid w:val="002B49E9"/>
    <w:rsid w:val="002C632E"/>
    <w:rsid w:val="002D3E8B"/>
    <w:rsid w:val="002D4575"/>
    <w:rsid w:val="002D5C0C"/>
    <w:rsid w:val="002E03D1"/>
    <w:rsid w:val="002E6B74"/>
    <w:rsid w:val="002E6FCA"/>
    <w:rsid w:val="00325C0E"/>
    <w:rsid w:val="00356CD0"/>
    <w:rsid w:val="00362CD9"/>
    <w:rsid w:val="0037238C"/>
    <w:rsid w:val="003761CA"/>
    <w:rsid w:val="00380DAF"/>
    <w:rsid w:val="00394293"/>
    <w:rsid w:val="00397015"/>
    <w:rsid w:val="003972CE"/>
    <w:rsid w:val="003B28F5"/>
    <w:rsid w:val="003B390E"/>
    <w:rsid w:val="003B7B7D"/>
    <w:rsid w:val="003C54CB"/>
    <w:rsid w:val="003C7A2A"/>
    <w:rsid w:val="003C7BB7"/>
    <w:rsid w:val="003D2DC1"/>
    <w:rsid w:val="003D69D0"/>
    <w:rsid w:val="003E2743"/>
    <w:rsid w:val="003F0392"/>
    <w:rsid w:val="003F2918"/>
    <w:rsid w:val="003F430E"/>
    <w:rsid w:val="0041088C"/>
    <w:rsid w:val="00412DD0"/>
    <w:rsid w:val="00413E93"/>
    <w:rsid w:val="00420A38"/>
    <w:rsid w:val="00424EDC"/>
    <w:rsid w:val="00425D98"/>
    <w:rsid w:val="00431B19"/>
    <w:rsid w:val="00432939"/>
    <w:rsid w:val="00455C63"/>
    <w:rsid w:val="004661AD"/>
    <w:rsid w:val="004A37D3"/>
    <w:rsid w:val="004A6C1D"/>
    <w:rsid w:val="004B6F02"/>
    <w:rsid w:val="004D1D85"/>
    <w:rsid w:val="004D3C3A"/>
    <w:rsid w:val="004E1CD1"/>
    <w:rsid w:val="004E21B8"/>
    <w:rsid w:val="004F405C"/>
    <w:rsid w:val="004F7EFC"/>
    <w:rsid w:val="0050787B"/>
    <w:rsid w:val="005107EB"/>
    <w:rsid w:val="00511277"/>
    <w:rsid w:val="00516430"/>
    <w:rsid w:val="00521345"/>
    <w:rsid w:val="00523A26"/>
    <w:rsid w:val="00526DF0"/>
    <w:rsid w:val="00535139"/>
    <w:rsid w:val="0054063B"/>
    <w:rsid w:val="00545CC4"/>
    <w:rsid w:val="00551FFF"/>
    <w:rsid w:val="005607A2"/>
    <w:rsid w:val="0057198B"/>
    <w:rsid w:val="00573CFE"/>
    <w:rsid w:val="0057460F"/>
    <w:rsid w:val="005969F2"/>
    <w:rsid w:val="00597FAE"/>
    <w:rsid w:val="005A1662"/>
    <w:rsid w:val="005B32A3"/>
    <w:rsid w:val="005C0D44"/>
    <w:rsid w:val="005C3CA6"/>
    <w:rsid w:val="005C566C"/>
    <w:rsid w:val="005C7E69"/>
    <w:rsid w:val="005E14F5"/>
    <w:rsid w:val="005E262D"/>
    <w:rsid w:val="005E6CE2"/>
    <w:rsid w:val="005F23D3"/>
    <w:rsid w:val="005F7E20"/>
    <w:rsid w:val="00605E43"/>
    <w:rsid w:val="006113E8"/>
    <w:rsid w:val="006133EC"/>
    <w:rsid w:val="006153BB"/>
    <w:rsid w:val="00632874"/>
    <w:rsid w:val="006509DA"/>
    <w:rsid w:val="00652409"/>
    <w:rsid w:val="00662239"/>
    <w:rsid w:val="00664189"/>
    <w:rsid w:val="006652C3"/>
    <w:rsid w:val="00667C97"/>
    <w:rsid w:val="00691FD0"/>
    <w:rsid w:val="00692148"/>
    <w:rsid w:val="006A1A1E"/>
    <w:rsid w:val="006B5337"/>
    <w:rsid w:val="006C5948"/>
    <w:rsid w:val="006D3734"/>
    <w:rsid w:val="006E052C"/>
    <w:rsid w:val="006E0AAA"/>
    <w:rsid w:val="006E30FD"/>
    <w:rsid w:val="006F2A74"/>
    <w:rsid w:val="006F46B5"/>
    <w:rsid w:val="007000D4"/>
    <w:rsid w:val="007118F5"/>
    <w:rsid w:val="00712AA4"/>
    <w:rsid w:val="007146C4"/>
    <w:rsid w:val="007155EB"/>
    <w:rsid w:val="00721AA1"/>
    <w:rsid w:val="00724B67"/>
    <w:rsid w:val="00726291"/>
    <w:rsid w:val="007523D0"/>
    <w:rsid w:val="007547F8"/>
    <w:rsid w:val="00765622"/>
    <w:rsid w:val="00770B6C"/>
    <w:rsid w:val="00771E0D"/>
    <w:rsid w:val="00772A62"/>
    <w:rsid w:val="00783FEA"/>
    <w:rsid w:val="0079067F"/>
    <w:rsid w:val="007A395D"/>
    <w:rsid w:val="007A4B82"/>
    <w:rsid w:val="007B6BD5"/>
    <w:rsid w:val="007C346C"/>
    <w:rsid w:val="007D01F9"/>
    <w:rsid w:val="007D2EEA"/>
    <w:rsid w:val="007E425E"/>
    <w:rsid w:val="007E6479"/>
    <w:rsid w:val="008005E8"/>
    <w:rsid w:val="0080294B"/>
    <w:rsid w:val="00804EAE"/>
    <w:rsid w:val="008056B3"/>
    <w:rsid w:val="0082480E"/>
    <w:rsid w:val="00830BD5"/>
    <w:rsid w:val="00845603"/>
    <w:rsid w:val="00850293"/>
    <w:rsid w:val="00851373"/>
    <w:rsid w:val="00851BA6"/>
    <w:rsid w:val="0085654D"/>
    <w:rsid w:val="00861160"/>
    <w:rsid w:val="0086654F"/>
    <w:rsid w:val="00875A8E"/>
    <w:rsid w:val="008A03FE"/>
    <w:rsid w:val="008A356F"/>
    <w:rsid w:val="008A4653"/>
    <w:rsid w:val="008A4717"/>
    <w:rsid w:val="008A50CC"/>
    <w:rsid w:val="008B3040"/>
    <w:rsid w:val="008B7A56"/>
    <w:rsid w:val="008C574F"/>
    <w:rsid w:val="008C673F"/>
    <w:rsid w:val="008D1694"/>
    <w:rsid w:val="008D6C1F"/>
    <w:rsid w:val="008D79CB"/>
    <w:rsid w:val="008E3448"/>
    <w:rsid w:val="008F07BC"/>
    <w:rsid w:val="008F67E9"/>
    <w:rsid w:val="00903ABD"/>
    <w:rsid w:val="00905BF1"/>
    <w:rsid w:val="00914CCD"/>
    <w:rsid w:val="0091760D"/>
    <w:rsid w:val="00926318"/>
    <w:rsid w:val="0092692B"/>
    <w:rsid w:val="00930561"/>
    <w:rsid w:val="00943E9C"/>
    <w:rsid w:val="00953F4D"/>
    <w:rsid w:val="0095702C"/>
    <w:rsid w:val="00960BB8"/>
    <w:rsid w:val="00964F5C"/>
    <w:rsid w:val="009724EA"/>
    <w:rsid w:val="00973B57"/>
    <w:rsid w:val="00975900"/>
    <w:rsid w:val="00975D11"/>
    <w:rsid w:val="009831C0"/>
    <w:rsid w:val="00985CF0"/>
    <w:rsid w:val="0099161D"/>
    <w:rsid w:val="009974D4"/>
    <w:rsid w:val="009B2550"/>
    <w:rsid w:val="009B57CD"/>
    <w:rsid w:val="009B7BC4"/>
    <w:rsid w:val="009D3E6C"/>
    <w:rsid w:val="009E69F7"/>
    <w:rsid w:val="00A0389B"/>
    <w:rsid w:val="00A06552"/>
    <w:rsid w:val="00A31ADE"/>
    <w:rsid w:val="00A33A3C"/>
    <w:rsid w:val="00A40F4F"/>
    <w:rsid w:val="00A4190E"/>
    <w:rsid w:val="00A446C9"/>
    <w:rsid w:val="00A45295"/>
    <w:rsid w:val="00A635D6"/>
    <w:rsid w:val="00A8553A"/>
    <w:rsid w:val="00A93AED"/>
    <w:rsid w:val="00A975D7"/>
    <w:rsid w:val="00AA640A"/>
    <w:rsid w:val="00AA6709"/>
    <w:rsid w:val="00AE1319"/>
    <w:rsid w:val="00AE34BB"/>
    <w:rsid w:val="00B15B65"/>
    <w:rsid w:val="00B226F2"/>
    <w:rsid w:val="00B274DF"/>
    <w:rsid w:val="00B52706"/>
    <w:rsid w:val="00B56BDF"/>
    <w:rsid w:val="00B65812"/>
    <w:rsid w:val="00B70096"/>
    <w:rsid w:val="00B70900"/>
    <w:rsid w:val="00B766DC"/>
    <w:rsid w:val="00B85CD6"/>
    <w:rsid w:val="00B90A27"/>
    <w:rsid w:val="00B9554D"/>
    <w:rsid w:val="00BB2B9F"/>
    <w:rsid w:val="00BB3375"/>
    <w:rsid w:val="00BB7D9E"/>
    <w:rsid w:val="00BC2334"/>
    <w:rsid w:val="00BD3CB8"/>
    <w:rsid w:val="00BD4E6F"/>
    <w:rsid w:val="00BE195A"/>
    <w:rsid w:val="00BF32F0"/>
    <w:rsid w:val="00BF4DCE"/>
    <w:rsid w:val="00C05CE5"/>
    <w:rsid w:val="00C235B3"/>
    <w:rsid w:val="00C306F8"/>
    <w:rsid w:val="00C6171E"/>
    <w:rsid w:val="00C6238B"/>
    <w:rsid w:val="00C71042"/>
    <w:rsid w:val="00C76733"/>
    <w:rsid w:val="00C9159C"/>
    <w:rsid w:val="00CA6F2C"/>
    <w:rsid w:val="00CC28BF"/>
    <w:rsid w:val="00CC3E50"/>
    <w:rsid w:val="00CD6A13"/>
    <w:rsid w:val="00CF1871"/>
    <w:rsid w:val="00CF30C4"/>
    <w:rsid w:val="00D01874"/>
    <w:rsid w:val="00D019CE"/>
    <w:rsid w:val="00D1133E"/>
    <w:rsid w:val="00D17A34"/>
    <w:rsid w:val="00D26628"/>
    <w:rsid w:val="00D332B3"/>
    <w:rsid w:val="00D34EE9"/>
    <w:rsid w:val="00D55207"/>
    <w:rsid w:val="00D72454"/>
    <w:rsid w:val="00D727C1"/>
    <w:rsid w:val="00D75C74"/>
    <w:rsid w:val="00D8141D"/>
    <w:rsid w:val="00D81801"/>
    <w:rsid w:val="00D92B45"/>
    <w:rsid w:val="00D95962"/>
    <w:rsid w:val="00DA7EAB"/>
    <w:rsid w:val="00DB4453"/>
    <w:rsid w:val="00DC389B"/>
    <w:rsid w:val="00DE2FEE"/>
    <w:rsid w:val="00DF1467"/>
    <w:rsid w:val="00DF7BB9"/>
    <w:rsid w:val="00E00BE9"/>
    <w:rsid w:val="00E22A11"/>
    <w:rsid w:val="00E306E9"/>
    <w:rsid w:val="00E30C3F"/>
    <w:rsid w:val="00E31E5C"/>
    <w:rsid w:val="00E44DD2"/>
    <w:rsid w:val="00E558C3"/>
    <w:rsid w:val="00E55927"/>
    <w:rsid w:val="00E60540"/>
    <w:rsid w:val="00E6611D"/>
    <w:rsid w:val="00E66B50"/>
    <w:rsid w:val="00E77122"/>
    <w:rsid w:val="00E912A6"/>
    <w:rsid w:val="00EA4844"/>
    <w:rsid w:val="00EA4D9C"/>
    <w:rsid w:val="00EA5A97"/>
    <w:rsid w:val="00EB2248"/>
    <w:rsid w:val="00EB75EE"/>
    <w:rsid w:val="00EC441B"/>
    <w:rsid w:val="00EC44CB"/>
    <w:rsid w:val="00EE3CC5"/>
    <w:rsid w:val="00EE4C1D"/>
    <w:rsid w:val="00EF3685"/>
    <w:rsid w:val="00EF6B96"/>
    <w:rsid w:val="00F0010F"/>
    <w:rsid w:val="00F0044D"/>
    <w:rsid w:val="00F03808"/>
    <w:rsid w:val="00F04350"/>
    <w:rsid w:val="00F10A65"/>
    <w:rsid w:val="00F133DB"/>
    <w:rsid w:val="00F155E1"/>
    <w:rsid w:val="00F159EB"/>
    <w:rsid w:val="00F25BF4"/>
    <w:rsid w:val="00F267DB"/>
    <w:rsid w:val="00F46F6F"/>
    <w:rsid w:val="00F503E8"/>
    <w:rsid w:val="00F60409"/>
    <w:rsid w:val="00F60608"/>
    <w:rsid w:val="00F62217"/>
    <w:rsid w:val="00FA255C"/>
    <w:rsid w:val="00FB17A9"/>
    <w:rsid w:val="00FB397A"/>
    <w:rsid w:val="00FB527C"/>
    <w:rsid w:val="00FB6F75"/>
    <w:rsid w:val="00FC0EB3"/>
    <w:rsid w:val="00FD675E"/>
    <w:rsid w:val="00FE41D1"/>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unhideWhenUsed/>
    <w:rsid w:val="00DB4453"/>
    <w:pPr>
      <w:spacing w:before="100" w:beforeAutospacing="1" w:after="100" w:afterAutospacing="1"/>
    </w:pPr>
    <w:rPr>
      <w:rFonts w:ascii="Times New Roman" w:eastAsia="Times New Roman" w:hAnsi="Times New Roman" w:cs="Times New Roman"/>
      <w:sz w:val="24"/>
      <w:szCs w:val="24"/>
      <w:lang w:eastAsia="ko-KR"/>
    </w:rPr>
  </w:style>
  <w:style w:type="character" w:styleId="Emphasis">
    <w:name w:val="Emphasis"/>
    <w:basedOn w:val="DefaultParagraphFont"/>
    <w:uiPriority w:val="20"/>
    <w:qFormat/>
    <w:rsid w:val="0012231B"/>
    <w:rPr>
      <w:i/>
      <w:iCs/>
    </w:rPr>
  </w:style>
  <w:style w:type="character" w:styleId="Strong">
    <w:name w:val="Strong"/>
    <w:basedOn w:val="DefaultParagraphFont"/>
    <w:uiPriority w:val="22"/>
    <w:qFormat/>
    <w:rsid w:val="00726291"/>
    <w:rPr>
      <w:b/>
      <w:bCs/>
    </w:rPr>
  </w:style>
  <w:style w:type="paragraph" w:customStyle="1" w:styleId="Default">
    <w:name w:val="Default"/>
    <w:rsid w:val="00C6238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43758">
      <w:bodyDiv w:val="1"/>
      <w:marLeft w:val="0"/>
      <w:marRight w:val="0"/>
      <w:marTop w:val="0"/>
      <w:marBottom w:val="0"/>
      <w:divBdr>
        <w:top w:val="none" w:sz="0" w:space="0" w:color="auto"/>
        <w:left w:val="none" w:sz="0" w:space="0" w:color="auto"/>
        <w:bottom w:val="none" w:sz="0" w:space="0" w:color="auto"/>
        <w:right w:val="none" w:sz="0" w:space="0" w:color="auto"/>
      </w:divBdr>
    </w:div>
    <w:div w:id="82655310">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236595374">
      <w:bodyDiv w:val="1"/>
      <w:marLeft w:val="0"/>
      <w:marRight w:val="0"/>
      <w:marTop w:val="0"/>
      <w:marBottom w:val="0"/>
      <w:divBdr>
        <w:top w:val="none" w:sz="0" w:space="0" w:color="auto"/>
        <w:left w:val="none" w:sz="0" w:space="0" w:color="auto"/>
        <w:bottom w:val="none" w:sz="0" w:space="0" w:color="auto"/>
        <w:right w:val="none" w:sz="0" w:space="0" w:color="auto"/>
      </w:divBdr>
    </w:div>
    <w:div w:id="318770983">
      <w:bodyDiv w:val="1"/>
      <w:marLeft w:val="0"/>
      <w:marRight w:val="0"/>
      <w:marTop w:val="0"/>
      <w:marBottom w:val="0"/>
      <w:divBdr>
        <w:top w:val="none" w:sz="0" w:space="0" w:color="auto"/>
        <w:left w:val="none" w:sz="0" w:space="0" w:color="auto"/>
        <w:bottom w:val="none" w:sz="0" w:space="0" w:color="auto"/>
        <w:right w:val="none" w:sz="0" w:space="0" w:color="auto"/>
      </w:divBdr>
    </w:div>
    <w:div w:id="406154471">
      <w:bodyDiv w:val="1"/>
      <w:marLeft w:val="0"/>
      <w:marRight w:val="0"/>
      <w:marTop w:val="0"/>
      <w:marBottom w:val="0"/>
      <w:divBdr>
        <w:top w:val="none" w:sz="0" w:space="0" w:color="auto"/>
        <w:left w:val="none" w:sz="0" w:space="0" w:color="auto"/>
        <w:bottom w:val="none" w:sz="0" w:space="0" w:color="auto"/>
        <w:right w:val="none" w:sz="0" w:space="0" w:color="auto"/>
      </w:divBdr>
    </w:div>
    <w:div w:id="489836414">
      <w:bodyDiv w:val="1"/>
      <w:marLeft w:val="0"/>
      <w:marRight w:val="0"/>
      <w:marTop w:val="0"/>
      <w:marBottom w:val="0"/>
      <w:divBdr>
        <w:top w:val="none" w:sz="0" w:space="0" w:color="auto"/>
        <w:left w:val="none" w:sz="0" w:space="0" w:color="auto"/>
        <w:bottom w:val="none" w:sz="0" w:space="0" w:color="auto"/>
        <w:right w:val="none" w:sz="0" w:space="0" w:color="auto"/>
      </w:divBdr>
    </w:div>
    <w:div w:id="689379016">
      <w:bodyDiv w:val="1"/>
      <w:marLeft w:val="0"/>
      <w:marRight w:val="0"/>
      <w:marTop w:val="0"/>
      <w:marBottom w:val="0"/>
      <w:divBdr>
        <w:top w:val="none" w:sz="0" w:space="0" w:color="auto"/>
        <w:left w:val="none" w:sz="0" w:space="0" w:color="auto"/>
        <w:bottom w:val="none" w:sz="0" w:space="0" w:color="auto"/>
        <w:right w:val="none" w:sz="0" w:space="0" w:color="auto"/>
      </w:divBdr>
    </w:div>
    <w:div w:id="760881200">
      <w:bodyDiv w:val="1"/>
      <w:marLeft w:val="0"/>
      <w:marRight w:val="0"/>
      <w:marTop w:val="0"/>
      <w:marBottom w:val="0"/>
      <w:divBdr>
        <w:top w:val="none" w:sz="0" w:space="0" w:color="auto"/>
        <w:left w:val="none" w:sz="0" w:space="0" w:color="auto"/>
        <w:bottom w:val="none" w:sz="0" w:space="0" w:color="auto"/>
        <w:right w:val="none" w:sz="0" w:space="0" w:color="auto"/>
      </w:divBdr>
    </w:div>
    <w:div w:id="839351902">
      <w:bodyDiv w:val="1"/>
      <w:marLeft w:val="0"/>
      <w:marRight w:val="0"/>
      <w:marTop w:val="0"/>
      <w:marBottom w:val="0"/>
      <w:divBdr>
        <w:top w:val="none" w:sz="0" w:space="0" w:color="auto"/>
        <w:left w:val="none" w:sz="0" w:space="0" w:color="auto"/>
        <w:bottom w:val="none" w:sz="0" w:space="0" w:color="auto"/>
        <w:right w:val="none" w:sz="0" w:space="0" w:color="auto"/>
      </w:divBdr>
    </w:div>
    <w:div w:id="871114815">
      <w:bodyDiv w:val="1"/>
      <w:marLeft w:val="0"/>
      <w:marRight w:val="0"/>
      <w:marTop w:val="0"/>
      <w:marBottom w:val="0"/>
      <w:divBdr>
        <w:top w:val="none" w:sz="0" w:space="0" w:color="auto"/>
        <w:left w:val="none" w:sz="0" w:space="0" w:color="auto"/>
        <w:bottom w:val="none" w:sz="0" w:space="0" w:color="auto"/>
        <w:right w:val="none" w:sz="0" w:space="0" w:color="auto"/>
      </w:divBdr>
    </w:div>
    <w:div w:id="1015495093">
      <w:bodyDiv w:val="1"/>
      <w:marLeft w:val="0"/>
      <w:marRight w:val="0"/>
      <w:marTop w:val="0"/>
      <w:marBottom w:val="0"/>
      <w:divBdr>
        <w:top w:val="none" w:sz="0" w:space="0" w:color="auto"/>
        <w:left w:val="none" w:sz="0" w:space="0" w:color="auto"/>
        <w:bottom w:val="none" w:sz="0" w:space="0" w:color="auto"/>
        <w:right w:val="none" w:sz="0" w:space="0" w:color="auto"/>
      </w:divBdr>
    </w:div>
    <w:div w:id="1051687022">
      <w:bodyDiv w:val="1"/>
      <w:marLeft w:val="0"/>
      <w:marRight w:val="0"/>
      <w:marTop w:val="0"/>
      <w:marBottom w:val="0"/>
      <w:divBdr>
        <w:top w:val="none" w:sz="0" w:space="0" w:color="auto"/>
        <w:left w:val="none" w:sz="0" w:space="0" w:color="auto"/>
        <w:bottom w:val="none" w:sz="0" w:space="0" w:color="auto"/>
        <w:right w:val="none" w:sz="0" w:space="0" w:color="auto"/>
      </w:divBdr>
    </w:div>
    <w:div w:id="1193610552">
      <w:bodyDiv w:val="1"/>
      <w:marLeft w:val="0"/>
      <w:marRight w:val="0"/>
      <w:marTop w:val="0"/>
      <w:marBottom w:val="0"/>
      <w:divBdr>
        <w:top w:val="none" w:sz="0" w:space="0" w:color="auto"/>
        <w:left w:val="none" w:sz="0" w:space="0" w:color="auto"/>
        <w:bottom w:val="none" w:sz="0" w:space="0" w:color="auto"/>
        <w:right w:val="none" w:sz="0" w:space="0" w:color="auto"/>
      </w:divBdr>
    </w:div>
    <w:div w:id="1215315899">
      <w:bodyDiv w:val="1"/>
      <w:marLeft w:val="0"/>
      <w:marRight w:val="0"/>
      <w:marTop w:val="0"/>
      <w:marBottom w:val="0"/>
      <w:divBdr>
        <w:top w:val="none" w:sz="0" w:space="0" w:color="auto"/>
        <w:left w:val="none" w:sz="0" w:space="0" w:color="auto"/>
        <w:bottom w:val="none" w:sz="0" w:space="0" w:color="auto"/>
        <w:right w:val="none" w:sz="0" w:space="0" w:color="auto"/>
      </w:divBdr>
    </w:div>
    <w:div w:id="1303273092">
      <w:bodyDiv w:val="1"/>
      <w:marLeft w:val="0"/>
      <w:marRight w:val="0"/>
      <w:marTop w:val="0"/>
      <w:marBottom w:val="0"/>
      <w:divBdr>
        <w:top w:val="none" w:sz="0" w:space="0" w:color="auto"/>
        <w:left w:val="none" w:sz="0" w:space="0" w:color="auto"/>
        <w:bottom w:val="none" w:sz="0" w:space="0" w:color="auto"/>
        <w:right w:val="none" w:sz="0" w:space="0" w:color="auto"/>
      </w:divBdr>
    </w:div>
    <w:div w:id="1528713416">
      <w:bodyDiv w:val="1"/>
      <w:marLeft w:val="0"/>
      <w:marRight w:val="0"/>
      <w:marTop w:val="0"/>
      <w:marBottom w:val="0"/>
      <w:divBdr>
        <w:top w:val="none" w:sz="0" w:space="0" w:color="auto"/>
        <w:left w:val="none" w:sz="0" w:space="0" w:color="auto"/>
        <w:bottom w:val="none" w:sz="0" w:space="0" w:color="auto"/>
        <w:right w:val="none" w:sz="0" w:space="0" w:color="auto"/>
      </w:divBdr>
    </w:div>
    <w:div w:id="1598715466">
      <w:bodyDiv w:val="1"/>
      <w:marLeft w:val="0"/>
      <w:marRight w:val="0"/>
      <w:marTop w:val="0"/>
      <w:marBottom w:val="0"/>
      <w:divBdr>
        <w:top w:val="none" w:sz="0" w:space="0" w:color="auto"/>
        <w:left w:val="none" w:sz="0" w:space="0" w:color="auto"/>
        <w:bottom w:val="none" w:sz="0" w:space="0" w:color="auto"/>
        <w:right w:val="none" w:sz="0" w:space="0" w:color="auto"/>
      </w:divBdr>
    </w:div>
    <w:div w:id="1679650555">
      <w:bodyDiv w:val="1"/>
      <w:marLeft w:val="0"/>
      <w:marRight w:val="0"/>
      <w:marTop w:val="0"/>
      <w:marBottom w:val="0"/>
      <w:divBdr>
        <w:top w:val="none" w:sz="0" w:space="0" w:color="auto"/>
        <w:left w:val="none" w:sz="0" w:space="0" w:color="auto"/>
        <w:bottom w:val="none" w:sz="0" w:space="0" w:color="auto"/>
        <w:right w:val="none" w:sz="0" w:space="0" w:color="auto"/>
      </w:divBdr>
    </w:div>
    <w:div w:id="1693724546">
      <w:bodyDiv w:val="1"/>
      <w:marLeft w:val="0"/>
      <w:marRight w:val="0"/>
      <w:marTop w:val="0"/>
      <w:marBottom w:val="0"/>
      <w:divBdr>
        <w:top w:val="none" w:sz="0" w:space="0" w:color="auto"/>
        <w:left w:val="none" w:sz="0" w:space="0" w:color="auto"/>
        <w:bottom w:val="none" w:sz="0" w:space="0" w:color="auto"/>
        <w:right w:val="none" w:sz="0" w:space="0" w:color="auto"/>
      </w:divBdr>
    </w:div>
    <w:div w:id="1703162813">
      <w:bodyDiv w:val="1"/>
      <w:marLeft w:val="0"/>
      <w:marRight w:val="0"/>
      <w:marTop w:val="0"/>
      <w:marBottom w:val="0"/>
      <w:divBdr>
        <w:top w:val="none" w:sz="0" w:space="0" w:color="auto"/>
        <w:left w:val="none" w:sz="0" w:space="0" w:color="auto"/>
        <w:bottom w:val="none" w:sz="0" w:space="0" w:color="auto"/>
        <w:right w:val="none" w:sz="0" w:space="0" w:color="auto"/>
      </w:divBdr>
    </w:div>
    <w:div w:id="1800955468">
      <w:bodyDiv w:val="1"/>
      <w:marLeft w:val="0"/>
      <w:marRight w:val="0"/>
      <w:marTop w:val="0"/>
      <w:marBottom w:val="0"/>
      <w:divBdr>
        <w:top w:val="none" w:sz="0" w:space="0" w:color="auto"/>
        <w:left w:val="none" w:sz="0" w:space="0" w:color="auto"/>
        <w:bottom w:val="none" w:sz="0" w:space="0" w:color="auto"/>
        <w:right w:val="none" w:sz="0" w:space="0" w:color="auto"/>
      </w:divBdr>
    </w:div>
    <w:div w:id="1864442351">
      <w:bodyDiv w:val="1"/>
      <w:marLeft w:val="0"/>
      <w:marRight w:val="0"/>
      <w:marTop w:val="0"/>
      <w:marBottom w:val="0"/>
      <w:divBdr>
        <w:top w:val="none" w:sz="0" w:space="0" w:color="auto"/>
        <w:left w:val="none" w:sz="0" w:space="0" w:color="auto"/>
        <w:bottom w:val="none" w:sz="0" w:space="0" w:color="auto"/>
        <w:right w:val="none" w:sz="0" w:space="0" w:color="auto"/>
      </w:divBdr>
    </w:div>
    <w:div w:id="1922987299">
      <w:bodyDiv w:val="1"/>
      <w:marLeft w:val="0"/>
      <w:marRight w:val="0"/>
      <w:marTop w:val="0"/>
      <w:marBottom w:val="0"/>
      <w:divBdr>
        <w:top w:val="none" w:sz="0" w:space="0" w:color="auto"/>
        <w:left w:val="none" w:sz="0" w:space="0" w:color="auto"/>
        <w:bottom w:val="none" w:sz="0" w:space="0" w:color="auto"/>
        <w:right w:val="none" w:sz="0" w:space="0" w:color="auto"/>
      </w:divBdr>
    </w:div>
    <w:div w:id="1997148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86236033-F07E-4105-8208-1B8172743B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720</Words>
  <Characters>4221</Characters>
  <Application>Microsoft Office Word</Application>
  <DocSecurity>0</DocSecurity>
  <Lines>35</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61</cp:revision>
  <dcterms:created xsi:type="dcterms:W3CDTF">2024-06-10T13:55:00Z</dcterms:created>
  <dcterms:modified xsi:type="dcterms:W3CDTF">2025-01-28T14:32:00Z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